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2809875</wp:posOffset>
            </wp:positionH>
            <wp:positionV relativeFrom="page">
              <wp:posOffset>704850</wp:posOffset>
            </wp:positionV>
            <wp:extent cx="2156525" cy="905740"/>
            <wp:effectExtent b="0" l="0" r="0" t="0"/>
            <wp:wrapNone/>
            <wp:docPr descr="City of Madelia Logo" id="1" name="image1.png"/>
            <a:graphic>
              <a:graphicData uri="http://schemas.openxmlformats.org/drawingml/2006/picture">
                <pic:pic>
                  <pic:nvPicPr>
                    <pic:cNvPr descr="City of Madelia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525" cy="90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Madelia Area Economic Development Authority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Madelia City Council Chambers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December 22nd, 2025, 6:15 PM Minutes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The meeting was called to order by Chair Cody Eager at 6:15 pm. Those in attendance were Cody Eager, Matthew Gunderson, Andrew Gappa, Glen Christensen, and Mark Slater. Others present include</w:t>
      </w:r>
      <w:r w:rsidDel="00000000" w:rsidR="00000000" w:rsidRPr="00000000">
        <w:rPr>
          <w:rtl w:val="0"/>
        </w:rPr>
        <w:t xml:space="preserve"> Chris Fischer, Heather Utz</w:t>
      </w:r>
      <w:r w:rsidDel="00000000" w:rsidR="00000000" w:rsidRPr="00000000">
        <w:rPr>
          <w:rtl w:val="0"/>
        </w:rPr>
        <w:t xml:space="preserve">, Chief Rob Prescher, Travis Bottelson, David Tran, and Jim Petterson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Eager asked for a motion to approve the agenda. Gappa made a motion to approve the agenda with the removal of the Watona Park Community Survey results and the EDA specialist update. Slater seconded. The motion was passed unanimously.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motion was made by Gappa and seconded by Christensen to approve the minutes from November 24th, 2025. The motion was passed unanimously.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board reviewed the program fund reports and outstanding loan reports.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board reviewed a request to apply for a second round of the Greater MN Small Cities (Tier II Cities) Housing Aid grant program to support Hartshorn Manor. Gappa made a motion to approve the application. Gunderson seconded the motion. The motion was passed unanimously.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meeting was opened to public comment at 6:18 pm. No public comment was brought before the EDA board at that time. Public comment was closed.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Eager reviewed the upcoming events.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With no further business before the EDA, a Motion was made by Christensen and seconded by Gappa to adjourn the meeting at 6:18 pm.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/>
      </w:pPr>
      <w:r w:rsidDel="00000000" w:rsidR="00000000" w:rsidRPr="00000000">
        <w:rPr>
          <w:rtl w:val="0"/>
        </w:rPr>
        <w:t xml:space="preserve">Typed this 23rd day of December, 2025,</w:t>
      </w:r>
    </w:p>
    <w:p w:rsidR="00000000" w:rsidDel="00000000" w:rsidP="00000000" w:rsidRDefault="00000000" w:rsidRPr="00000000" w14:paraId="0000001A">
      <w:pPr>
        <w:spacing w:line="480" w:lineRule="auto"/>
        <w:rPr/>
      </w:pPr>
      <w:r w:rsidDel="00000000" w:rsidR="00000000" w:rsidRPr="00000000">
        <w:rPr>
          <w:rtl w:val="0"/>
        </w:rPr>
        <w:t xml:space="preserve">Celia Viesselman, CEDA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